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after="0" w:before="12" w:line="240" w:lineRule="auto"/>
        <w:jc w:val="left"/>
        <w:rPr>
          <w:b w:val="1"/>
          <w:sz w:val="40"/>
          <w:szCs w:val="40"/>
        </w:rPr>
      </w:pPr>
      <w:r w:rsidDel="00000000" w:rsidR="00000000" w:rsidRPr="00000000">
        <w:rPr>
          <w:rtl w:val="0"/>
        </w:rPr>
      </w:r>
    </w:p>
    <w:p w:rsidR="00000000" w:rsidDel="00000000" w:rsidP="00000000" w:rsidRDefault="00000000" w:rsidRPr="00000000" w14:paraId="00000002">
      <w:pPr>
        <w:widowControl w:val="0"/>
        <w:spacing w:after="0" w:before="12" w:line="240" w:lineRule="auto"/>
        <w:jc w:val="center"/>
        <w:rPr>
          <w:b w:val="1"/>
          <w:sz w:val="48"/>
          <w:szCs w:val="48"/>
        </w:rPr>
      </w:pPr>
      <w:r w:rsidDel="00000000" w:rsidR="00000000" w:rsidRPr="00000000">
        <w:rPr>
          <w:b w:val="1"/>
          <w:sz w:val="48"/>
          <w:szCs w:val="48"/>
          <w:rtl w:val="0"/>
        </w:rPr>
        <w:t xml:space="preserve">2021-22 </w:t>
      </w:r>
    </w:p>
    <w:p w:rsidR="00000000" w:rsidDel="00000000" w:rsidP="00000000" w:rsidRDefault="00000000" w:rsidRPr="00000000" w14:paraId="00000003">
      <w:pPr>
        <w:widowControl w:val="0"/>
        <w:spacing w:after="0" w:before="12" w:line="240" w:lineRule="auto"/>
        <w:jc w:val="center"/>
        <w:rPr>
          <w:b w:val="1"/>
          <w:sz w:val="48"/>
          <w:szCs w:val="48"/>
        </w:rPr>
      </w:pPr>
      <w:r w:rsidDel="00000000" w:rsidR="00000000" w:rsidRPr="00000000">
        <w:rPr>
          <w:b w:val="1"/>
          <w:sz w:val="48"/>
          <w:szCs w:val="48"/>
          <w:rtl w:val="0"/>
        </w:rPr>
        <w:t xml:space="preserve">Annual School Development Report</w:t>
      </w:r>
    </w:p>
    <w:p w:rsidR="00000000" w:rsidDel="00000000" w:rsidP="00000000" w:rsidRDefault="00000000" w:rsidRPr="00000000" w14:paraId="00000004">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5">
      <w:pPr>
        <w:widowControl w:val="0"/>
        <w:spacing w:after="0" w:before="12" w:line="240" w:lineRule="auto"/>
        <w:jc w:val="center"/>
        <w:rPr>
          <w:b w:val="1"/>
          <w:sz w:val="40"/>
          <w:szCs w:val="40"/>
        </w:rPr>
      </w:pPr>
      <w:r w:rsidDel="00000000" w:rsidR="00000000" w:rsidRPr="00000000">
        <w:rPr>
          <w:b w:val="1"/>
          <w:sz w:val="40"/>
          <w:szCs w:val="40"/>
          <w:rtl w:val="0"/>
        </w:rPr>
        <w:t xml:space="preserve">Helen Tulk Elementary</w:t>
      </w:r>
    </w:p>
    <w:p w:rsidR="00000000" w:rsidDel="00000000" w:rsidP="00000000" w:rsidRDefault="00000000" w:rsidRPr="00000000" w14:paraId="00000006">
      <w:pPr>
        <w:widowControl w:val="0"/>
        <w:spacing w:after="0" w:before="12" w:line="240" w:lineRule="auto"/>
        <w:jc w:val="center"/>
        <w:rPr>
          <w:b w:val="1"/>
          <w:sz w:val="40"/>
          <w:szCs w:val="4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2943225</wp:posOffset>
            </wp:positionH>
            <wp:positionV relativeFrom="paragraph">
              <wp:posOffset>85725</wp:posOffset>
            </wp:positionV>
            <wp:extent cx="3254693" cy="2632056"/>
            <wp:effectExtent b="0" l="0" r="0" t="0"/>
            <wp:wrapNone/>
            <wp:docPr id="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254693" cy="2632056"/>
                    </a:xfrm>
                    <a:prstGeom prst="rect"/>
                    <a:ln/>
                  </pic:spPr>
                </pic:pic>
              </a:graphicData>
            </a:graphic>
          </wp:anchor>
        </w:drawing>
      </w:r>
    </w:p>
    <w:p w:rsidR="00000000" w:rsidDel="00000000" w:rsidP="00000000" w:rsidRDefault="00000000" w:rsidRPr="00000000" w14:paraId="00000007">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8">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9">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A">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B">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C">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D">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E">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0F">
      <w:pPr>
        <w:widowControl w:val="0"/>
        <w:spacing w:after="0" w:before="12" w:line="240" w:lineRule="auto"/>
        <w:jc w:val="center"/>
        <w:rPr>
          <w:b w:val="1"/>
          <w:sz w:val="40"/>
          <w:szCs w:val="40"/>
          <w:u w:val="single"/>
        </w:rPr>
      </w:pPr>
      <w:r w:rsidDel="00000000" w:rsidR="00000000" w:rsidRPr="00000000">
        <w:rPr>
          <w:b w:val="1"/>
          <w:sz w:val="40"/>
          <w:szCs w:val="40"/>
          <w:u w:val="single"/>
          <w:rtl w:val="0"/>
        </w:rPr>
        <w:t xml:space="preserve">Vision Statement </w:t>
      </w:r>
    </w:p>
    <w:p w:rsidR="00000000" w:rsidDel="00000000" w:rsidP="00000000" w:rsidRDefault="00000000" w:rsidRPr="00000000" w14:paraId="00000010">
      <w:pPr>
        <w:widowControl w:val="0"/>
        <w:spacing w:after="0" w:before="12" w:line="240" w:lineRule="auto"/>
        <w:rPr>
          <w:b w:val="1"/>
          <w:sz w:val="40"/>
          <w:szCs w:val="40"/>
        </w:rPr>
      </w:pPr>
      <w:r w:rsidDel="00000000" w:rsidR="00000000" w:rsidRPr="00000000">
        <w:rPr>
          <w:b w:val="1"/>
          <w:sz w:val="40"/>
          <w:szCs w:val="40"/>
          <w:rtl w:val="0"/>
        </w:rPr>
        <w:t xml:space="preserve">Helen Tulk Elementary School is a welcoming and safe professional learning community which engages our larger community in optimizing the physical,</w:t>
      </w:r>
    </w:p>
    <w:p w:rsidR="00000000" w:rsidDel="00000000" w:rsidP="00000000" w:rsidRDefault="00000000" w:rsidRPr="00000000" w14:paraId="00000011">
      <w:pPr>
        <w:widowControl w:val="0"/>
        <w:spacing w:after="0" w:before="12" w:line="240" w:lineRule="auto"/>
        <w:rPr>
          <w:b w:val="1"/>
          <w:sz w:val="40"/>
          <w:szCs w:val="40"/>
        </w:rPr>
      </w:pPr>
      <w:r w:rsidDel="00000000" w:rsidR="00000000" w:rsidRPr="00000000">
        <w:rPr>
          <w:b w:val="1"/>
          <w:sz w:val="40"/>
          <w:szCs w:val="40"/>
          <w:rtl w:val="0"/>
        </w:rPr>
        <w:t xml:space="preserve">social, emotional and intellectual growth of all learners. We embrace diversity and</w:t>
      </w:r>
    </w:p>
    <w:p w:rsidR="00000000" w:rsidDel="00000000" w:rsidP="00000000" w:rsidRDefault="00000000" w:rsidRPr="00000000" w14:paraId="00000012">
      <w:pPr>
        <w:widowControl w:val="0"/>
        <w:spacing w:after="0" w:before="12" w:line="240" w:lineRule="auto"/>
        <w:rPr>
          <w:b w:val="1"/>
          <w:sz w:val="40"/>
          <w:szCs w:val="40"/>
        </w:rPr>
      </w:pPr>
      <w:r w:rsidDel="00000000" w:rsidR="00000000" w:rsidRPr="00000000">
        <w:rPr>
          <w:b w:val="1"/>
          <w:sz w:val="40"/>
          <w:szCs w:val="40"/>
          <w:rtl w:val="0"/>
        </w:rPr>
        <w:t xml:space="preserve">effective communication in an equitable, supportive and respectful environment.</w:t>
      </w:r>
    </w:p>
    <w:p w:rsidR="00000000" w:rsidDel="00000000" w:rsidP="00000000" w:rsidRDefault="00000000" w:rsidRPr="00000000" w14:paraId="00000013">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14">
      <w:pPr>
        <w:widowControl w:val="0"/>
        <w:spacing w:after="0" w:before="12" w:line="240" w:lineRule="auto"/>
        <w:jc w:val="center"/>
        <w:rPr>
          <w:b w:val="1"/>
          <w:sz w:val="40"/>
          <w:szCs w:val="40"/>
          <w:u w:val="single"/>
        </w:rPr>
      </w:pPr>
      <w:r w:rsidDel="00000000" w:rsidR="00000000" w:rsidRPr="00000000">
        <w:rPr>
          <w:b w:val="1"/>
          <w:sz w:val="40"/>
          <w:szCs w:val="40"/>
          <w:u w:val="single"/>
          <w:rtl w:val="0"/>
        </w:rPr>
        <w:t xml:space="preserve">Mission Statement</w:t>
      </w:r>
    </w:p>
    <w:p w:rsidR="00000000" w:rsidDel="00000000" w:rsidP="00000000" w:rsidRDefault="00000000" w:rsidRPr="00000000" w14:paraId="00000015">
      <w:pPr>
        <w:widowControl w:val="0"/>
        <w:spacing w:after="0" w:before="12" w:line="240" w:lineRule="auto"/>
        <w:rPr>
          <w:b w:val="1"/>
          <w:sz w:val="40"/>
          <w:szCs w:val="40"/>
        </w:rPr>
      </w:pPr>
      <w:r w:rsidDel="00000000" w:rsidR="00000000" w:rsidRPr="00000000">
        <w:rPr>
          <w:b w:val="1"/>
          <w:sz w:val="40"/>
          <w:szCs w:val="40"/>
          <w:rtl w:val="0"/>
        </w:rPr>
        <w:t xml:space="preserve">Helen Tulk Elementary School is a collaborative, respectful and caring school community which will improve and celebrate student achievement across the curriculum through a focus on diverse learners, while embracing student learning through the effective integration of technology across the curriculum.</w:t>
      </w:r>
    </w:p>
    <w:p w:rsidR="00000000" w:rsidDel="00000000" w:rsidP="00000000" w:rsidRDefault="00000000" w:rsidRPr="00000000" w14:paraId="00000016">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17">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18">
      <w:pPr>
        <w:widowControl w:val="0"/>
        <w:spacing w:after="0" w:before="12" w:line="240" w:lineRule="auto"/>
        <w:jc w:val="center"/>
        <w:rPr>
          <w:b w:val="1"/>
          <w:sz w:val="40"/>
          <w:szCs w:val="40"/>
        </w:rPr>
      </w:pPr>
      <w:r w:rsidDel="00000000" w:rsidR="00000000" w:rsidRPr="00000000">
        <w:rPr>
          <w:rtl w:val="0"/>
        </w:rPr>
      </w:r>
    </w:p>
    <w:p w:rsidR="00000000" w:rsidDel="00000000" w:rsidP="00000000" w:rsidRDefault="00000000" w:rsidRPr="00000000" w14:paraId="00000019">
      <w:pPr>
        <w:widowControl w:val="0"/>
        <w:spacing w:after="0" w:before="12" w:line="240" w:lineRule="auto"/>
        <w:jc w:val="center"/>
        <w:rPr>
          <w:b w:val="1"/>
          <w:sz w:val="40"/>
          <w:szCs w:val="40"/>
        </w:rPr>
      </w:pPr>
      <w:r w:rsidDel="00000000" w:rsidR="00000000" w:rsidRPr="00000000">
        <w:rPr>
          <w:rtl w:val="0"/>
        </w:rPr>
      </w:r>
    </w:p>
    <w:tbl>
      <w:tblPr>
        <w:tblStyle w:val="Table1"/>
        <w:tblW w:w="14696.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14696"/>
        <w:tblGridChange w:id="0">
          <w:tblGrid>
            <w:gridCol w:w="14696"/>
          </w:tblGrid>
        </w:tblGridChange>
      </w:tblGrid>
      <w:tr>
        <w:trPr>
          <w:cantSplit w:val="0"/>
          <w:tblHeader w:val="0"/>
        </w:trPr>
        <w:tc>
          <w:tcPr/>
          <w:p w:rsidR="00000000" w:rsidDel="00000000" w:rsidP="00000000" w:rsidRDefault="00000000" w:rsidRPr="00000000" w14:paraId="0000001A">
            <w:pPr>
              <w:widowControl w:val="0"/>
              <w:spacing w:before="12" w:lineRule="auto"/>
              <w:rPr>
                <w:sz w:val="28"/>
                <w:szCs w:val="28"/>
              </w:rPr>
            </w:pPr>
            <w:r w:rsidDel="00000000" w:rsidR="00000000" w:rsidRPr="00000000">
              <w:rPr>
                <w:sz w:val="28"/>
                <w:szCs w:val="28"/>
                <w:rtl w:val="0"/>
              </w:rPr>
              <w:t xml:space="preserve">Strategic Issue:</w:t>
            </w:r>
          </w:p>
          <w:p w:rsidR="00000000" w:rsidDel="00000000" w:rsidP="00000000" w:rsidRDefault="00000000" w:rsidRPr="00000000" w14:paraId="0000001B">
            <w:pPr>
              <w:widowControl w:val="0"/>
              <w:spacing w:before="12" w:lineRule="auto"/>
              <w:rPr>
                <w:color w:val="000000"/>
                <w:sz w:val="28"/>
                <w:szCs w:val="28"/>
              </w:rPr>
            </w:pPr>
            <w:r w:rsidDel="00000000" w:rsidR="00000000" w:rsidRPr="00000000">
              <w:rPr>
                <w:color w:val="000000"/>
                <w:sz w:val="28"/>
                <w:szCs w:val="28"/>
                <w:rtl w:val="0"/>
              </w:rPr>
              <w:t xml:space="preserve">Collective efficacy </w:t>
            </w:r>
          </w:p>
          <w:p w:rsidR="00000000" w:rsidDel="00000000" w:rsidP="00000000" w:rsidRDefault="00000000" w:rsidRPr="00000000" w14:paraId="0000001C">
            <w:pPr>
              <w:widowControl w:val="0"/>
              <w:spacing w:before="12" w:lineRule="auto"/>
              <w:rPr>
                <w:color w:val="000000"/>
                <w:sz w:val="28"/>
                <w:szCs w:val="28"/>
              </w:rPr>
            </w:pPr>
            <w:r w:rsidDel="00000000" w:rsidR="00000000" w:rsidRPr="00000000">
              <w:rPr>
                <w:color w:val="000000"/>
                <w:sz w:val="28"/>
                <w:szCs w:val="28"/>
                <w:rtl w:val="0"/>
              </w:rPr>
              <w:t xml:space="preserve">Goal: – To create an environment where all students are engaged and learning.</w:t>
            </w:r>
          </w:p>
        </w:tc>
      </w:tr>
      <w:tr>
        <w:trPr>
          <w:cantSplit w:val="0"/>
          <w:trHeight w:val="354" w:hRule="atLeast"/>
          <w:tblHeader w:val="0"/>
        </w:trPr>
        <w:tc>
          <w:tcPr>
            <w:vMerge w:val="restart"/>
          </w:tcPr>
          <w:p w:rsidR="00000000" w:rsidDel="00000000" w:rsidP="00000000" w:rsidRDefault="00000000" w:rsidRPr="00000000" w14:paraId="0000001D">
            <w:pPr>
              <w:widowControl w:val="0"/>
              <w:spacing w:before="12" w:lineRule="auto"/>
              <w:rPr>
                <w:sz w:val="28"/>
                <w:szCs w:val="28"/>
              </w:rPr>
            </w:pPr>
            <w:bookmarkStart w:colFirst="0" w:colLast="0" w:name="_heading=h.gjdgxs" w:id="0"/>
            <w:bookmarkEnd w:id="0"/>
            <w:r w:rsidDel="00000000" w:rsidR="00000000" w:rsidRPr="00000000">
              <w:rPr>
                <w:sz w:val="28"/>
                <w:szCs w:val="28"/>
                <w:rtl w:val="0"/>
              </w:rPr>
              <w:t xml:space="preserve">How did you know this was a Strategic Issue? What evidence did you have?</w:t>
            </w:r>
          </w:p>
          <w:p w:rsidR="00000000" w:rsidDel="00000000" w:rsidP="00000000" w:rsidRDefault="00000000" w:rsidRPr="00000000" w14:paraId="0000001E">
            <w:pPr>
              <w:widowControl w:val="0"/>
              <w:spacing w:before="12" w:lineRule="auto"/>
              <w:rPr>
                <w:sz w:val="28"/>
                <w:szCs w:val="28"/>
              </w:rPr>
            </w:pPr>
            <w:r w:rsidDel="00000000" w:rsidR="00000000" w:rsidRPr="00000000">
              <w:rPr>
                <w:sz w:val="28"/>
                <w:szCs w:val="28"/>
                <w:rtl w:val="0"/>
              </w:rPr>
              <w:t xml:space="preserve">Evidence used to identify strategic issue:</w:t>
            </w:r>
          </w:p>
          <w:p w:rsidR="00000000" w:rsidDel="00000000" w:rsidP="00000000" w:rsidRDefault="00000000" w:rsidRPr="00000000" w14:paraId="0000001F">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20">
            <w:pPr>
              <w:widowControl w:val="0"/>
              <w:spacing w:before="12" w:lineRule="auto"/>
              <w:rPr>
                <w:sz w:val="28"/>
                <w:szCs w:val="28"/>
              </w:rPr>
            </w:pPr>
            <w:r w:rsidDel="00000000" w:rsidR="00000000" w:rsidRPr="00000000">
              <w:rPr>
                <w:sz w:val="28"/>
                <w:szCs w:val="28"/>
                <w:rtl w:val="0"/>
              </w:rPr>
              <w:t xml:space="preserve">PMF Outcome: “Students experience a safe, caring and inclusive environment”</w:t>
            </w:r>
          </w:p>
          <w:p w:rsidR="00000000" w:rsidDel="00000000" w:rsidP="00000000" w:rsidRDefault="00000000" w:rsidRPr="00000000" w14:paraId="00000021">
            <w:pPr>
              <w:widowControl w:val="0"/>
              <w:numPr>
                <w:ilvl w:val="0"/>
                <w:numId w:val="1"/>
              </w:numPr>
              <w:spacing w:before="12" w:lineRule="auto"/>
              <w:ind w:left="720" w:hanging="360"/>
              <w:rPr>
                <w:sz w:val="28"/>
                <w:szCs w:val="28"/>
              </w:rPr>
            </w:pPr>
            <w:r w:rsidDel="00000000" w:rsidR="00000000" w:rsidRPr="00000000">
              <w:rPr>
                <w:sz w:val="28"/>
                <w:szCs w:val="28"/>
                <w:rtl w:val="0"/>
              </w:rPr>
              <w:t xml:space="preserve">Indicator: 2.2 56.4% of teachers report a positive school climate.</w:t>
            </w:r>
          </w:p>
          <w:p w:rsidR="00000000" w:rsidDel="00000000" w:rsidP="00000000" w:rsidRDefault="00000000" w:rsidRPr="00000000" w14:paraId="00000022">
            <w:pPr>
              <w:widowControl w:val="0"/>
              <w:spacing w:before="12" w:lineRule="auto"/>
              <w:ind w:left="720" w:firstLine="0"/>
              <w:rPr>
                <w:sz w:val="28"/>
                <w:szCs w:val="28"/>
              </w:rPr>
            </w:pPr>
            <w:r w:rsidDel="00000000" w:rsidR="00000000" w:rsidRPr="00000000">
              <w:rPr>
                <w:rtl w:val="0"/>
              </w:rPr>
            </w:r>
          </w:p>
          <w:p w:rsidR="00000000" w:rsidDel="00000000" w:rsidP="00000000" w:rsidRDefault="00000000" w:rsidRPr="00000000" w14:paraId="00000023">
            <w:pPr>
              <w:widowControl w:val="0"/>
              <w:spacing w:before="12" w:lineRule="auto"/>
              <w:rPr>
                <w:sz w:val="28"/>
                <w:szCs w:val="28"/>
              </w:rPr>
            </w:pPr>
            <w:r w:rsidDel="00000000" w:rsidR="00000000" w:rsidRPr="00000000">
              <w:rPr>
                <w:sz w:val="28"/>
                <w:szCs w:val="28"/>
                <w:rtl w:val="0"/>
              </w:rPr>
              <w:t xml:space="preserve">PMF Outcome: “The Education system is responsive to students’ strengths and needs”</w:t>
            </w:r>
          </w:p>
          <w:p w:rsidR="00000000" w:rsidDel="00000000" w:rsidP="00000000" w:rsidRDefault="00000000" w:rsidRPr="00000000" w14:paraId="00000024">
            <w:pPr>
              <w:widowControl w:val="0"/>
              <w:numPr>
                <w:ilvl w:val="0"/>
                <w:numId w:val="5"/>
              </w:numPr>
              <w:spacing w:after="0" w:afterAutospacing="0" w:before="12" w:lineRule="auto"/>
              <w:ind w:left="720" w:hanging="360"/>
              <w:rPr>
                <w:sz w:val="28"/>
                <w:szCs w:val="28"/>
              </w:rPr>
            </w:pPr>
            <w:r w:rsidDel="00000000" w:rsidR="00000000" w:rsidRPr="00000000">
              <w:rPr>
                <w:sz w:val="28"/>
                <w:szCs w:val="28"/>
                <w:rtl w:val="0"/>
              </w:rPr>
              <w:t xml:space="preserve">Indicator 3.1: 51% of students are engaged.</w:t>
            </w:r>
          </w:p>
          <w:p w:rsidR="00000000" w:rsidDel="00000000" w:rsidP="00000000" w:rsidRDefault="00000000" w:rsidRPr="00000000" w14:paraId="00000025">
            <w:pPr>
              <w:widowControl w:val="0"/>
              <w:numPr>
                <w:ilvl w:val="0"/>
                <w:numId w:val="5"/>
              </w:numPr>
              <w:spacing w:before="0" w:beforeAutospacing="0" w:lineRule="auto"/>
              <w:ind w:left="720" w:hanging="360"/>
              <w:rPr>
                <w:sz w:val="28"/>
                <w:szCs w:val="28"/>
              </w:rPr>
            </w:pPr>
            <w:r w:rsidDel="00000000" w:rsidR="00000000" w:rsidRPr="00000000">
              <w:rPr>
                <w:sz w:val="28"/>
                <w:szCs w:val="28"/>
                <w:rtl w:val="0"/>
              </w:rPr>
              <w:t xml:space="preserve">Indicator 3.3: 65.8% of teachers are confident in their teaching. 8% lower than similar schools and the province, 4% lower than the previous year.</w:t>
            </w:r>
          </w:p>
          <w:p w:rsidR="00000000" w:rsidDel="00000000" w:rsidP="00000000" w:rsidRDefault="00000000" w:rsidRPr="00000000" w14:paraId="00000026">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27">
            <w:pPr>
              <w:widowControl w:val="0"/>
              <w:spacing w:before="12" w:lineRule="auto"/>
              <w:rPr>
                <w:sz w:val="28"/>
                <w:szCs w:val="28"/>
              </w:rPr>
            </w:pPr>
            <w:r w:rsidDel="00000000" w:rsidR="00000000" w:rsidRPr="00000000">
              <w:rPr>
                <w:sz w:val="28"/>
                <w:szCs w:val="28"/>
                <w:rtl w:val="0"/>
              </w:rPr>
              <w:t xml:space="preserve">Meeting minutes: </w:t>
            </w:r>
          </w:p>
          <w:p w:rsidR="00000000" w:rsidDel="00000000" w:rsidP="00000000" w:rsidRDefault="00000000" w:rsidRPr="00000000" w14:paraId="00000028">
            <w:pPr>
              <w:widowControl w:val="0"/>
              <w:numPr>
                <w:ilvl w:val="0"/>
                <w:numId w:val="9"/>
              </w:numPr>
              <w:spacing w:after="0" w:afterAutospacing="0" w:before="12" w:lineRule="auto"/>
              <w:ind w:left="720" w:hanging="360"/>
              <w:rPr>
                <w:sz w:val="28"/>
                <w:szCs w:val="28"/>
              </w:rPr>
            </w:pPr>
            <w:r w:rsidDel="00000000" w:rsidR="00000000" w:rsidRPr="00000000">
              <w:rPr>
                <w:sz w:val="28"/>
                <w:szCs w:val="28"/>
                <w:rtl w:val="0"/>
              </w:rPr>
              <w:t xml:space="preserve">“Everytime I do some kind of PL, I come out feeling like I don’t know anything and I’m a bad teacher.” </w:t>
            </w:r>
          </w:p>
          <w:p w:rsidR="00000000" w:rsidDel="00000000" w:rsidP="00000000" w:rsidRDefault="00000000" w:rsidRPr="00000000" w14:paraId="00000029">
            <w:pPr>
              <w:widowControl w:val="0"/>
              <w:numPr>
                <w:ilvl w:val="0"/>
                <w:numId w:val="9"/>
              </w:numPr>
              <w:spacing w:after="0" w:afterAutospacing="0" w:before="0" w:beforeAutospacing="0" w:lineRule="auto"/>
              <w:ind w:left="720" w:hanging="360"/>
              <w:rPr>
                <w:sz w:val="28"/>
                <w:szCs w:val="28"/>
              </w:rPr>
            </w:pPr>
            <w:r w:rsidDel="00000000" w:rsidR="00000000" w:rsidRPr="00000000">
              <w:rPr>
                <w:sz w:val="28"/>
                <w:szCs w:val="28"/>
                <w:rtl w:val="0"/>
              </w:rPr>
              <w:t xml:space="preserve">Pressure of provincial assessments, pressure to cover all curriculum outcomes</w:t>
            </w:r>
          </w:p>
          <w:p w:rsidR="00000000" w:rsidDel="00000000" w:rsidP="00000000" w:rsidRDefault="00000000" w:rsidRPr="00000000" w14:paraId="0000002A">
            <w:pPr>
              <w:widowControl w:val="0"/>
              <w:numPr>
                <w:ilvl w:val="0"/>
                <w:numId w:val="9"/>
              </w:numPr>
              <w:spacing w:before="0" w:beforeAutospacing="0" w:lineRule="auto"/>
              <w:ind w:left="720" w:hanging="360"/>
              <w:rPr>
                <w:sz w:val="28"/>
                <w:szCs w:val="28"/>
              </w:rPr>
            </w:pPr>
            <w:r w:rsidDel="00000000" w:rsidR="00000000" w:rsidRPr="00000000">
              <w:rPr>
                <w:sz w:val="28"/>
                <w:szCs w:val="28"/>
                <w:rtl w:val="0"/>
              </w:rPr>
              <w:t xml:space="preserve">Feel like they cannot do enough for students; students’ needs are not met</w:t>
            </w:r>
          </w:p>
          <w:p w:rsidR="00000000" w:rsidDel="00000000" w:rsidP="00000000" w:rsidRDefault="00000000" w:rsidRPr="00000000" w14:paraId="0000002B">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2C">
            <w:pPr>
              <w:widowControl w:val="0"/>
              <w:spacing w:before="12" w:lineRule="auto"/>
              <w:rPr>
                <w:sz w:val="28"/>
                <w:szCs w:val="28"/>
              </w:rPr>
            </w:pPr>
            <w:r w:rsidDel="00000000" w:rsidR="00000000" w:rsidRPr="00000000">
              <w:rPr>
                <w:sz w:val="28"/>
                <w:szCs w:val="28"/>
                <w:rtl w:val="0"/>
              </w:rPr>
              <w:t xml:space="preserve">School Development Instructional Staff Survey - What can we improve on?</w:t>
            </w:r>
          </w:p>
          <w:p w:rsidR="00000000" w:rsidDel="00000000" w:rsidP="00000000" w:rsidRDefault="00000000" w:rsidRPr="00000000" w14:paraId="0000002D">
            <w:pPr>
              <w:widowControl w:val="0"/>
              <w:numPr>
                <w:ilvl w:val="0"/>
                <w:numId w:val="2"/>
              </w:numPr>
              <w:spacing w:before="12" w:lineRule="auto"/>
              <w:ind w:left="720" w:hanging="360"/>
              <w:rPr>
                <w:sz w:val="28"/>
                <w:szCs w:val="28"/>
              </w:rPr>
            </w:pPr>
            <w:r w:rsidDel="00000000" w:rsidR="00000000" w:rsidRPr="00000000">
              <w:rPr>
                <w:sz w:val="28"/>
                <w:szCs w:val="28"/>
                <w:rtl w:val="0"/>
              </w:rPr>
              <w:t xml:space="preserve">“Provide more support to students, particularly with regard to those who need extra help with self-care and self-regulation, and more training for teachers on how to facilitate social emotional learning.”</w:t>
            </w:r>
          </w:p>
          <w:p w:rsidR="00000000" w:rsidDel="00000000" w:rsidP="00000000" w:rsidRDefault="00000000" w:rsidRPr="00000000" w14:paraId="0000002E">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2F">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30">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31">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32">
            <w:pPr>
              <w:widowControl w:val="0"/>
              <w:spacing w:before="12" w:lineRule="auto"/>
              <w:rPr>
                <w:sz w:val="28"/>
                <w:szCs w:val="28"/>
              </w:rPr>
            </w:pPr>
            <w:r w:rsidDel="00000000" w:rsidR="00000000" w:rsidRPr="00000000">
              <w:rPr>
                <w:rtl w:val="0"/>
              </w:rPr>
            </w:r>
          </w:p>
        </w:tc>
      </w:tr>
      <w:tr>
        <w:trPr>
          <w:cantSplit w:val="0"/>
          <w:trHeight w:val="342" w:hRule="atLeast"/>
          <w:tblHeader w:val="0"/>
        </w:trPr>
        <w:tc>
          <w:tcPr>
            <w:vMerge w:val="continue"/>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8"/>
                <w:szCs w:val="28"/>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34">
            <w:pPr>
              <w:widowControl w:val="0"/>
              <w:spacing w:before="12" w:lineRule="auto"/>
              <w:rPr>
                <w:sz w:val="28"/>
                <w:szCs w:val="28"/>
              </w:rPr>
            </w:pPr>
            <w:r w:rsidDel="00000000" w:rsidR="00000000" w:rsidRPr="00000000">
              <w:rPr>
                <w:sz w:val="28"/>
                <w:szCs w:val="28"/>
                <w:rtl w:val="0"/>
              </w:rPr>
              <w:t xml:space="preserve">Year-end Summary of Progress.  What evidence do you have to support this progress?</w:t>
            </w:r>
          </w:p>
          <w:p w:rsidR="00000000" w:rsidDel="00000000" w:rsidP="00000000" w:rsidRDefault="00000000" w:rsidRPr="00000000" w14:paraId="00000035">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36">
            <w:pPr>
              <w:widowControl w:val="0"/>
              <w:spacing w:before="12" w:lineRule="auto"/>
              <w:rPr>
                <w:sz w:val="28"/>
                <w:szCs w:val="28"/>
              </w:rPr>
            </w:pPr>
            <w:r w:rsidDel="00000000" w:rsidR="00000000" w:rsidRPr="00000000">
              <w:rPr>
                <w:sz w:val="28"/>
                <w:szCs w:val="28"/>
                <w:rtl w:val="0"/>
              </w:rPr>
              <w:t xml:space="preserve">Since this evidence was collected, teaching staff have really embraced collaborative practices with RTL Protocol, and have witnessed notable improvement in student learning. An increase of chromebook use and “Read and Write” has also allowed an increase in engagement for students. This in turn has helped to make teachers and TLAs collectively feel more confident in their work. With the elimination of provincial assessments (to the extent they were previously) teachers feel less stress about student results of learning. Formative assessment (in many formats) is embraced and promoted, which provides teachers with a more complete picture of how students are progressing. This has encouraged teachers to better view their own success as educators and students feel more excited to learn without the pressure to perform for tests. They are more likely to take risks and try alternate/new ways of doing/thinking about various topics. The RTL Protocol has allowed teaching staff to support students with accommodations more freely, thus encouraging them to also feel less stress and worry about what they can’t as opposed to can achieve as learners. This year’s School Development Surveys should really demonstrate this growth and engagement.</w:t>
            </w:r>
          </w:p>
          <w:p w:rsidR="00000000" w:rsidDel="00000000" w:rsidP="00000000" w:rsidRDefault="00000000" w:rsidRPr="00000000" w14:paraId="00000037">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38">
            <w:pPr>
              <w:widowControl w:val="0"/>
              <w:spacing w:before="12"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39">
            <w:pPr>
              <w:widowControl w:val="0"/>
              <w:spacing w:before="12" w:lineRule="auto"/>
              <w:rPr>
                <w:sz w:val="28"/>
                <w:szCs w:val="28"/>
                <w:highlight w:val="yellow"/>
              </w:rPr>
            </w:pPr>
            <w:r w:rsidDel="00000000" w:rsidR="00000000" w:rsidRPr="00000000">
              <w:rPr>
                <w:sz w:val="28"/>
                <w:szCs w:val="28"/>
                <w:rtl w:val="0"/>
              </w:rPr>
              <w:t xml:space="preserve">Next Steps… </w:t>
            </w:r>
            <w:r w:rsidDel="00000000" w:rsidR="00000000" w:rsidRPr="00000000">
              <w:rPr>
                <w:rtl w:val="0"/>
              </w:rPr>
            </w:r>
          </w:p>
          <w:p w:rsidR="00000000" w:rsidDel="00000000" w:rsidP="00000000" w:rsidRDefault="00000000" w:rsidRPr="00000000" w14:paraId="0000003A">
            <w:pPr>
              <w:widowControl w:val="0"/>
              <w:spacing w:before="12" w:lineRule="auto"/>
              <w:rPr>
                <w:sz w:val="28"/>
                <w:szCs w:val="28"/>
              </w:rPr>
            </w:pPr>
            <w:r w:rsidDel="00000000" w:rsidR="00000000" w:rsidRPr="00000000">
              <w:rPr>
                <w:sz w:val="28"/>
                <w:szCs w:val="28"/>
                <w:rtl w:val="0"/>
              </w:rPr>
              <w:t xml:space="preserve">We will continue to build on the momentum started with the RTL Protocol (professional and student collaborative practices such as reviewing work samples, troubleshooting, etc.), which should, in turn, promote further confidence in professional practices and student engagement. </w:t>
            </w:r>
          </w:p>
          <w:p w:rsidR="00000000" w:rsidDel="00000000" w:rsidP="00000000" w:rsidRDefault="00000000" w:rsidRPr="00000000" w14:paraId="0000003B">
            <w:pPr>
              <w:widowControl w:val="0"/>
              <w:spacing w:before="12" w:lineRule="auto"/>
              <w:rPr>
                <w:sz w:val="28"/>
                <w:szCs w:val="28"/>
              </w:rPr>
            </w:pPr>
            <w:r w:rsidDel="00000000" w:rsidR="00000000" w:rsidRPr="00000000">
              <w:rPr>
                <w:rtl w:val="0"/>
              </w:rPr>
            </w:r>
          </w:p>
        </w:tc>
      </w:tr>
    </w:tbl>
    <w:p w:rsidR="00000000" w:rsidDel="00000000" w:rsidP="00000000" w:rsidRDefault="00000000" w:rsidRPr="00000000" w14:paraId="0000003C">
      <w:pPr>
        <w:widowControl w:val="0"/>
        <w:spacing w:after="0" w:before="12" w:line="240" w:lineRule="auto"/>
        <w:jc w:val="center"/>
        <w:rPr>
          <w:b w:val="1"/>
          <w:sz w:val="40"/>
          <w:szCs w:val="40"/>
        </w:rPr>
      </w:pPr>
      <w:r w:rsidDel="00000000" w:rsidR="00000000" w:rsidRPr="00000000">
        <w:rPr>
          <w:rtl w:val="0"/>
        </w:rPr>
      </w:r>
    </w:p>
    <w:tbl>
      <w:tblPr>
        <w:tblStyle w:val="Table2"/>
        <w:tblW w:w="14696.0" w:type="dxa"/>
        <w:jc w:val="left"/>
        <w:tblInd w:w="-108.0" w:type="dxa"/>
        <w:tblBorders>
          <w:top w:color="8eaadb" w:space="0" w:sz="4" w:val="single"/>
          <w:left w:color="8eaadb" w:space="0" w:sz="4" w:val="single"/>
          <w:bottom w:color="8eaadb" w:space="0" w:sz="4" w:val="single"/>
          <w:right w:color="8eaadb" w:space="0" w:sz="4" w:val="single"/>
          <w:insideH w:color="8eaadb" w:space="0" w:sz="4" w:val="single"/>
          <w:insideV w:color="8eaadb" w:space="0" w:sz="4" w:val="single"/>
        </w:tblBorders>
        <w:tblLayout w:type="fixed"/>
        <w:tblLook w:val="04A0"/>
      </w:tblPr>
      <w:tblGrid>
        <w:gridCol w:w="14696"/>
        <w:tblGridChange w:id="0">
          <w:tblGrid>
            <w:gridCol w:w="14696"/>
          </w:tblGrid>
        </w:tblGridChange>
      </w:tblGrid>
      <w:tr>
        <w:trPr>
          <w:cantSplit w:val="0"/>
          <w:tblHeader w:val="0"/>
        </w:trPr>
        <w:tc>
          <w:tcPr/>
          <w:p w:rsidR="00000000" w:rsidDel="00000000" w:rsidP="00000000" w:rsidRDefault="00000000" w:rsidRPr="00000000" w14:paraId="0000003D">
            <w:pPr>
              <w:widowControl w:val="0"/>
              <w:spacing w:after="0" w:before="12" w:line="240" w:lineRule="auto"/>
              <w:rPr>
                <w:sz w:val="28"/>
                <w:szCs w:val="28"/>
              </w:rPr>
            </w:pPr>
            <w:r w:rsidDel="00000000" w:rsidR="00000000" w:rsidRPr="00000000">
              <w:rPr>
                <w:sz w:val="28"/>
                <w:szCs w:val="28"/>
                <w:rtl w:val="0"/>
              </w:rPr>
              <w:t xml:space="preserve">Strategic Issue:</w:t>
            </w:r>
          </w:p>
          <w:p w:rsidR="00000000" w:rsidDel="00000000" w:rsidP="00000000" w:rsidRDefault="00000000" w:rsidRPr="00000000" w14:paraId="0000003E">
            <w:pPr>
              <w:widowControl w:val="0"/>
              <w:spacing w:before="12" w:lineRule="auto"/>
              <w:rPr>
                <w:color w:val="000000"/>
                <w:sz w:val="28"/>
                <w:szCs w:val="28"/>
              </w:rPr>
            </w:pPr>
            <w:r w:rsidDel="00000000" w:rsidR="00000000" w:rsidRPr="00000000">
              <w:rPr>
                <w:color w:val="000000"/>
                <w:sz w:val="28"/>
                <w:szCs w:val="28"/>
                <w:rtl w:val="0"/>
              </w:rPr>
              <w:t xml:space="preserve">Instructional Practice </w:t>
            </w:r>
          </w:p>
          <w:p w:rsidR="00000000" w:rsidDel="00000000" w:rsidP="00000000" w:rsidRDefault="00000000" w:rsidRPr="00000000" w14:paraId="0000003F">
            <w:pPr>
              <w:widowControl w:val="0"/>
              <w:spacing w:before="12" w:lineRule="auto"/>
              <w:rPr>
                <w:color w:val="000000"/>
                <w:sz w:val="28"/>
                <w:szCs w:val="28"/>
              </w:rPr>
            </w:pPr>
            <w:r w:rsidDel="00000000" w:rsidR="00000000" w:rsidRPr="00000000">
              <w:rPr>
                <w:color w:val="000000"/>
                <w:sz w:val="28"/>
                <w:szCs w:val="28"/>
                <w:rtl w:val="0"/>
              </w:rPr>
              <w:t xml:space="preserve">Goal: – To create an environment where all students are engaged and learning.</w:t>
            </w:r>
          </w:p>
        </w:tc>
      </w:tr>
      <w:tr>
        <w:trPr>
          <w:cantSplit w:val="0"/>
          <w:trHeight w:val="354" w:hRule="atLeast"/>
          <w:tblHeader w:val="0"/>
        </w:trPr>
        <w:tc>
          <w:tcPr>
            <w:vMerge w:val="restart"/>
          </w:tcPr>
          <w:p w:rsidR="00000000" w:rsidDel="00000000" w:rsidP="00000000" w:rsidRDefault="00000000" w:rsidRPr="00000000" w14:paraId="00000040">
            <w:pPr>
              <w:widowControl w:val="0"/>
              <w:spacing w:before="12" w:lineRule="auto"/>
              <w:rPr>
                <w:sz w:val="28"/>
                <w:szCs w:val="28"/>
              </w:rPr>
            </w:pPr>
            <w:bookmarkStart w:colFirst="0" w:colLast="0" w:name="_heading=h.gjdgxs" w:id="0"/>
            <w:bookmarkEnd w:id="0"/>
            <w:r w:rsidDel="00000000" w:rsidR="00000000" w:rsidRPr="00000000">
              <w:rPr>
                <w:sz w:val="28"/>
                <w:szCs w:val="28"/>
                <w:rtl w:val="0"/>
              </w:rPr>
              <w:t xml:space="preserve">How did you know this was a Strategic Issue? What evidence did you have?</w:t>
            </w:r>
          </w:p>
          <w:p w:rsidR="00000000" w:rsidDel="00000000" w:rsidP="00000000" w:rsidRDefault="00000000" w:rsidRPr="00000000" w14:paraId="00000041">
            <w:pPr>
              <w:widowControl w:val="0"/>
              <w:spacing w:before="12" w:lineRule="auto"/>
              <w:rPr>
                <w:sz w:val="28"/>
                <w:szCs w:val="28"/>
              </w:rPr>
            </w:pPr>
            <w:r w:rsidDel="00000000" w:rsidR="00000000" w:rsidRPr="00000000">
              <w:rPr>
                <w:sz w:val="28"/>
                <w:szCs w:val="28"/>
                <w:rtl w:val="0"/>
              </w:rPr>
              <w:t xml:space="preserve">Evidence used to identify strategic issue:</w:t>
            </w:r>
          </w:p>
          <w:p w:rsidR="00000000" w:rsidDel="00000000" w:rsidP="00000000" w:rsidRDefault="00000000" w:rsidRPr="00000000" w14:paraId="00000042">
            <w:pPr>
              <w:widowControl w:val="0"/>
              <w:spacing w:before="12" w:lineRule="auto"/>
              <w:rPr>
                <w:sz w:val="28"/>
                <w:szCs w:val="28"/>
              </w:rPr>
            </w:pPr>
            <w:r w:rsidDel="00000000" w:rsidR="00000000" w:rsidRPr="00000000">
              <w:rPr>
                <w:sz w:val="28"/>
                <w:szCs w:val="28"/>
                <w:rtl w:val="0"/>
              </w:rPr>
              <w:t xml:space="preserve">PMF Outcome: “Students experience a safe, caring and inclusive environment”</w:t>
            </w:r>
          </w:p>
          <w:p w:rsidR="00000000" w:rsidDel="00000000" w:rsidP="00000000" w:rsidRDefault="00000000" w:rsidRPr="00000000" w14:paraId="00000043">
            <w:pPr>
              <w:widowControl w:val="0"/>
              <w:numPr>
                <w:ilvl w:val="0"/>
                <w:numId w:val="3"/>
              </w:numPr>
              <w:spacing w:before="12" w:lineRule="auto"/>
              <w:ind w:left="720" w:hanging="360"/>
              <w:rPr>
                <w:sz w:val="28"/>
                <w:szCs w:val="28"/>
              </w:rPr>
            </w:pPr>
            <w:r w:rsidDel="00000000" w:rsidR="00000000" w:rsidRPr="00000000">
              <w:rPr>
                <w:sz w:val="28"/>
                <w:szCs w:val="28"/>
                <w:rtl w:val="0"/>
              </w:rPr>
              <w:t xml:space="preserve">Indicator: 2.2 56.4% of teachers who report a positive school climate. </w:t>
            </w:r>
          </w:p>
          <w:p w:rsidR="00000000" w:rsidDel="00000000" w:rsidP="00000000" w:rsidRDefault="00000000" w:rsidRPr="00000000" w14:paraId="00000044">
            <w:pPr>
              <w:widowControl w:val="0"/>
              <w:spacing w:before="12" w:lineRule="auto"/>
              <w:ind w:left="720" w:firstLine="0"/>
              <w:rPr>
                <w:sz w:val="28"/>
                <w:szCs w:val="28"/>
              </w:rPr>
            </w:pPr>
            <w:r w:rsidDel="00000000" w:rsidR="00000000" w:rsidRPr="00000000">
              <w:rPr>
                <w:rtl w:val="0"/>
              </w:rPr>
            </w:r>
          </w:p>
          <w:p w:rsidR="00000000" w:rsidDel="00000000" w:rsidP="00000000" w:rsidRDefault="00000000" w:rsidRPr="00000000" w14:paraId="00000045">
            <w:pPr>
              <w:widowControl w:val="0"/>
              <w:spacing w:before="12" w:lineRule="auto"/>
              <w:rPr>
                <w:sz w:val="28"/>
                <w:szCs w:val="28"/>
              </w:rPr>
            </w:pPr>
            <w:r w:rsidDel="00000000" w:rsidR="00000000" w:rsidRPr="00000000">
              <w:rPr>
                <w:sz w:val="28"/>
                <w:szCs w:val="28"/>
                <w:rtl w:val="0"/>
              </w:rPr>
              <w:t xml:space="preserve">PMF Outcome: “The Education system is responsive to students’ strengths and needs”</w:t>
            </w:r>
          </w:p>
          <w:p w:rsidR="00000000" w:rsidDel="00000000" w:rsidP="00000000" w:rsidRDefault="00000000" w:rsidRPr="00000000" w14:paraId="00000046">
            <w:pPr>
              <w:widowControl w:val="0"/>
              <w:numPr>
                <w:ilvl w:val="0"/>
                <w:numId w:val="6"/>
              </w:numPr>
              <w:spacing w:after="0" w:afterAutospacing="0" w:before="12" w:lineRule="auto"/>
              <w:ind w:left="720" w:hanging="360"/>
              <w:rPr>
                <w:sz w:val="28"/>
                <w:szCs w:val="28"/>
              </w:rPr>
            </w:pPr>
            <w:r w:rsidDel="00000000" w:rsidR="00000000" w:rsidRPr="00000000">
              <w:rPr>
                <w:sz w:val="28"/>
                <w:szCs w:val="28"/>
                <w:rtl w:val="0"/>
              </w:rPr>
              <w:t xml:space="preserve">Indicator 3.1: 51% of students who are engaged. </w:t>
            </w:r>
          </w:p>
          <w:p w:rsidR="00000000" w:rsidDel="00000000" w:rsidP="00000000" w:rsidRDefault="00000000" w:rsidRPr="00000000" w14:paraId="00000047">
            <w:pPr>
              <w:widowControl w:val="0"/>
              <w:numPr>
                <w:ilvl w:val="0"/>
                <w:numId w:val="6"/>
              </w:numPr>
              <w:spacing w:before="0" w:beforeAutospacing="0" w:lineRule="auto"/>
              <w:ind w:left="720" w:hanging="360"/>
              <w:rPr>
                <w:sz w:val="28"/>
                <w:szCs w:val="28"/>
              </w:rPr>
            </w:pPr>
            <w:r w:rsidDel="00000000" w:rsidR="00000000" w:rsidRPr="00000000">
              <w:rPr>
                <w:sz w:val="28"/>
                <w:szCs w:val="28"/>
                <w:rtl w:val="0"/>
              </w:rPr>
              <w:t xml:space="preserve">Indicator 3.3: 65.8% of teachers are confident in their teaching.  8% lower than similar schools and the province, 4% lower than the previous year </w:t>
            </w:r>
          </w:p>
          <w:p w:rsidR="00000000" w:rsidDel="00000000" w:rsidP="00000000" w:rsidRDefault="00000000" w:rsidRPr="00000000" w14:paraId="00000048">
            <w:pPr>
              <w:widowControl w:val="0"/>
              <w:numPr>
                <w:ilvl w:val="0"/>
                <w:numId w:val="6"/>
              </w:numPr>
              <w:ind w:left="720" w:hanging="360"/>
              <w:rPr>
                <w:sz w:val="28"/>
                <w:szCs w:val="28"/>
              </w:rPr>
            </w:pPr>
            <w:r w:rsidDel="00000000" w:rsidR="00000000" w:rsidRPr="00000000">
              <w:rPr>
                <w:sz w:val="28"/>
                <w:szCs w:val="28"/>
                <w:rtl w:val="0"/>
              </w:rPr>
              <w:t xml:space="preserve">Indicator 3.4: 73% of families who feel their school meets their child’s developmental needs.</w:t>
            </w:r>
          </w:p>
          <w:p w:rsidR="00000000" w:rsidDel="00000000" w:rsidP="00000000" w:rsidRDefault="00000000" w:rsidRPr="00000000" w14:paraId="00000049">
            <w:pPr>
              <w:widowControl w:val="0"/>
              <w:spacing w:before="12" w:lineRule="auto"/>
              <w:ind w:left="720" w:firstLine="0"/>
              <w:rPr>
                <w:sz w:val="28"/>
                <w:szCs w:val="28"/>
              </w:rPr>
            </w:pPr>
            <w:r w:rsidDel="00000000" w:rsidR="00000000" w:rsidRPr="00000000">
              <w:rPr>
                <w:rtl w:val="0"/>
              </w:rPr>
            </w:r>
          </w:p>
          <w:p w:rsidR="00000000" w:rsidDel="00000000" w:rsidP="00000000" w:rsidRDefault="00000000" w:rsidRPr="00000000" w14:paraId="0000004A">
            <w:pPr>
              <w:widowControl w:val="0"/>
              <w:spacing w:before="12" w:lineRule="auto"/>
              <w:rPr>
                <w:sz w:val="28"/>
                <w:szCs w:val="28"/>
              </w:rPr>
            </w:pPr>
            <w:r w:rsidDel="00000000" w:rsidR="00000000" w:rsidRPr="00000000">
              <w:rPr>
                <w:sz w:val="28"/>
                <w:szCs w:val="28"/>
                <w:rtl w:val="0"/>
              </w:rPr>
              <w:t xml:space="preserve">Meeting Minutes: </w:t>
            </w:r>
          </w:p>
          <w:p w:rsidR="00000000" w:rsidDel="00000000" w:rsidP="00000000" w:rsidRDefault="00000000" w:rsidRPr="00000000" w14:paraId="0000004B">
            <w:pPr>
              <w:widowControl w:val="0"/>
              <w:numPr>
                <w:ilvl w:val="0"/>
                <w:numId w:val="4"/>
              </w:numPr>
              <w:spacing w:after="0" w:afterAutospacing="0" w:before="12" w:lineRule="auto"/>
              <w:ind w:left="720" w:hanging="360"/>
              <w:rPr>
                <w:sz w:val="28"/>
                <w:szCs w:val="28"/>
              </w:rPr>
            </w:pPr>
            <w:r w:rsidDel="00000000" w:rsidR="00000000" w:rsidRPr="00000000">
              <w:rPr>
                <w:sz w:val="28"/>
                <w:szCs w:val="28"/>
                <w:rtl w:val="0"/>
              </w:rPr>
              <w:t xml:space="preserve">‘Everytime I do some kind of PL, I come out feeling like I don’t know anything and I’m a bad teacher” </w:t>
            </w:r>
          </w:p>
          <w:p w:rsidR="00000000" w:rsidDel="00000000" w:rsidP="00000000" w:rsidRDefault="00000000" w:rsidRPr="00000000" w14:paraId="0000004C">
            <w:pPr>
              <w:widowControl w:val="0"/>
              <w:numPr>
                <w:ilvl w:val="0"/>
                <w:numId w:val="4"/>
              </w:numPr>
              <w:spacing w:after="0" w:afterAutospacing="0" w:before="0" w:beforeAutospacing="0" w:lineRule="auto"/>
              <w:ind w:left="720" w:hanging="360"/>
              <w:rPr>
                <w:sz w:val="28"/>
                <w:szCs w:val="28"/>
              </w:rPr>
            </w:pPr>
            <w:r w:rsidDel="00000000" w:rsidR="00000000" w:rsidRPr="00000000">
              <w:rPr>
                <w:sz w:val="28"/>
                <w:szCs w:val="28"/>
                <w:rtl w:val="0"/>
              </w:rPr>
              <w:t xml:space="preserve">Pressure of provincial assessments, pressure to cover all curriculum outcomes</w:t>
            </w:r>
          </w:p>
          <w:p w:rsidR="00000000" w:rsidDel="00000000" w:rsidP="00000000" w:rsidRDefault="00000000" w:rsidRPr="00000000" w14:paraId="0000004D">
            <w:pPr>
              <w:widowControl w:val="0"/>
              <w:numPr>
                <w:ilvl w:val="0"/>
                <w:numId w:val="4"/>
              </w:numPr>
              <w:spacing w:after="0" w:afterAutospacing="0" w:before="0" w:beforeAutospacing="0" w:lineRule="auto"/>
              <w:ind w:left="720" w:hanging="360"/>
              <w:rPr>
                <w:sz w:val="28"/>
                <w:szCs w:val="28"/>
              </w:rPr>
            </w:pPr>
            <w:r w:rsidDel="00000000" w:rsidR="00000000" w:rsidRPr="00000000">
              <w:rPr>
                <w:sz w:val="28"/>
                <w:szCs w:val="28"/>
                <w:rtl w:val="0"/>
              </w:rPr>
              <w:t xml:space="preserve">Feel like they cannot do enough for students</w:t>
            </w:r>
          </w:p>
          <w:p w:rsidR="00000000" w:rsidDel="00000000" w:rsidP="00000000" w:rsidRDefault="00000000" w:rsidRPr="00000000" w14:paraId="0000004E">
            <w:pPr>
              <w:widowControl w:val="0"/>
              <w:numPr>
                <w:ilvl w:val="0"/>
                <w:numId w:val="4"/>
              </w:numPr>
              <w:spacing w:before="0" w:beforeAutospacing="0" w:lineRule="auto"/>
              <w:ind w:left="720" w:hanging="360"/>
              <w:rPr>
                <w:sz w:val="28"/>
                <w:szCs w:val="28"/>
              </w:rPr>
            </w:pPr>
            <w:r w:rsidDel="00000000" w:rsidR="00000000" w:rsidRPr="00000000">
              <w:rPr>
                <w:sz w:val="28"/>
                <w:szCs w:val="28"/>
                <w:rtl w:val="0"/>
              </w:rPr>
              <w:t xml:space="preserve">Kids who are struggling don’t get enough support, high achievers are not being challenged, how do we address that?</w:t>
            </w:r>
          </w:p>
          <w:p w:rsidR="00000000" w:rsidDel="00000000" w:rsidP="00000000" w:rsidRDefault="00000000" w:rsidRPr="00000000" w14:paraId="0000004F">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50">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51">
            <w:pPr>
              <w:widowControl w:val="0"/>
              <w:spacing w:before="12" w:lineRule="auto"/>
              <w:rPr>
                <w:sz w:val="28"/>
                <w:szCs w:val="28"/>
              </w:rPr>
            </w:pPr>
            <w:r w:rsidDel="00000000" w:rsidR="00000000" w:rsidRPr="00000000">
              <w:rPr>
                <w:sz w:val="28"/>
                <w:szCs w:val="28"/>
                <w:rtl w:val="0"/>
              </w:rPr>
              <w:t xml:space="preserve">School Development Family Survey</w:t>
            </w:r>
          </w:p>
          <w:p w:rsidR="00000000" w:rsidDel="00000000" w:rsidP="00000000" w:rsidRDefault="00000000" w:rsidRPr="00000000" w14:paraId="00000052">
            <w:pPr>
              <w:widowControl w:val="0"/>
              <w:numPr>
                <w:ilvl w:val="0"/>
                <w:numId w:val="10"/>
              </w:numPr>
              <w:spacing w:after="0" w:afterAutospacing="0" w:before="12" w:lineRule="auto"/>
              <w:ind w:left="720" w:hanging="360"/>
              <w:rPr>
                <w:sz w:val="28"/>
                <w:szCs w:val="28"/>
              </w:rPr>
            </w:pPr>
            <w:r w:rsidDel="00000000" w:rsidR="00000000" w:rsidRPr="00000000">
              <w:rPr>
                <w:sz w:val="28"/>
                <w:szCs w:val="28"/>
                <w:rtl w:val="0"/>
              </w:rPr>
              <w:t xml:space="preserve">What are things the school could do to improve?</w:t>
            </w:r>
          </w:p>
          <w:p w:rsidR="00000000" w:rsidDel="00000000" w:rsidP="00000000" w:rsidRDefault="00000000" w:rsidRPr="00000000" w14:paraId="00000053">
            <w:pPr>
              <w:widowControl w:val="0"/>
              <w:numPr>
                <w:ilvl w:val="1"/>
                <w:numId w:val="10"/>
              </w:numPr>
              <w:spacing w:after="0" w:afterAutospacing="0" w:before="0" w:beforeAutospacing="0" w:lineRule="auto"/>
              <w:ind w:left="1440" w:hanging="360"/>
              <w:rPr>
                <w:sz w:val="28"/>
                <w:szCs w:val="28"/>
              </w:rPr>
            </w:pPr>
            <w:r w:rsidDel="00000000" w:rsidR="00000000" w:rsidRPr="00000000">
              <w:rPr>
                <w:sz w:val="28"/>
                <w:szCs w:val="28"/>
                <w:rtl w:val="0"/>
              </w:rPr>
              <w:t xml:space="preserve">“Work with certain intellectually advanced students.”</w:t>
            </w:r>
          </w:p>
          <w:p w:rsidR="00000000" w:rsidDel="00000000" w:rsidP="00000000" w:rsidRDefault="00000000" w:rsidRPr="00000000" w14:paraId="00000054">
            <w:pPr>
              <w:widowControl w:val="0"/>
              <w:numPr>
                <w:ilvl w:val="1"/>
                <w:numId w:val="10"/>
              </w:numPr>
              <w:spacing w:after="0" w:afterAutospacing="0" w:before="0" w:beforeAutospacing="0" w:lineRule="auto"/>
              <w:ind w:left="1440" w:hanging="360"/>
              <w:rPr>
                <w:sz w:val="28"/>
                <w:szCs w:val="28"/>
              </w:rPr>
            </w:pPr>
            <w:r w:rsidDel="00000000" w:rsidR="00000000" w:rsidRPr="00000000">
              <w:rPr>
                <w:sz w:val="28"/>
                <w:szCs w:val="28"/>
                <w:rtl w:val="0"/>
              </w:rPr>
              <w:t xml:space="preserve">“mentally stimulate and challenge students based on their strong parts.”</w:t>
            </w:r>
          </w:p>
          <w:p w:rsidR="00000000" w:rsidDel="00000000" w:rsidP="00000000" w:rsidRDefault="00000000" w:rsidRPr="00000000" w14:paraId="00000055">
            <w:pPr>
              <w:widowControl w:val="0"/>
              <w:numPr>
                <w:ilvl w:val="1"/>
                <w:numId w:val="10"/>
              </w:numPr>
              <w:spacing w:before="0" w:beforeAutospacing="0" w:lineRule="auto"/>
              <w:ind w:left="1440" w:hanging="360"/>
              <w:rPr>
                <w:sz w:val="28"/>
                <w:szCs w:val="28"/>
              </w:rPr>
            </w:pPr>
            <w:r w:rsidDel="00000000" w:rsidR="00000000" w:rsidRPr="00000000">
              <w:rPr>
                <w:sz w:val="28"/>
                <w:szCs w:val="28"/>
                <w:rtl w:val="0"/>
              </w:rPr>
              <w:t xml:space="preserve">“The school work given to the kids should be a little more challenging.”</w:t>
            </w:r>
          </w:p>
          <w:p w:rsidR="00000000" w:rsidDel="00000000" w:rsidP="00000000" w:rsidRDefault="00000000" w:rsidRPr="00000000" w14:paraId="00000056">
            <w:pPr>
              <w:widowControl w:val="0"/>
              <w:spacing w:before="12" w:lineRule="auto"/>
              <w:ind w:left="1440" w:firstLine="0"/>
              <w:rPr>
                <w:sz w:val="28"/>
                <w:szCs w:val="28"/>
              </w:rPr>
            </w:pPr>
            <w:r w:rsidDel="00000000" w:rsidR="00000000" w:rsidRPr="00000000">
              <w:rPr>
                <w:rtl w:val="0"/>
              </w:rPr>
            </w:r>
          </w:p>
          <w:p w:rsidR="00000000" w:rsidDel="00000000" w:rsidP="00000000" w:rsidRDefault="00000000" w:rsidRPr="00000000" w14:paraId="00000057">
            <w:pPr>
              <w:widowControl w:val="0"/>
              <w:spacing w:before="12" w:lineRule="auto"/>
              <w:rPr>
                <w:sz w:val="28"/>
                <w:szCs w:val="28"/>
              </w:rPr>
            </w:pPr>
            <w:r w:rsidDel="00000000" w:rsidR="00000000" w:rsidRPr="00000000">
              <w:rPr>
                <w:sz w:val="28"/>
                <w:szCs w:val="28"/>
                <w:rtl w:val="0"/>
              </w:rPr>
              <w:t xml:space="preserve">School Development Grade 5-6 Survey</w:t>
            </w:r>
          </w:p>
          <w:p w:rsidR="00000000" w:rsidDel="00000000" w:rsidP="00000000" w:rsidRDefault="00000000" w:rsidRPr="00000000" w14:paraId="00000058">
            <w:pPr>
              <w:widowControl w:val="0"/>
              <w:numPr>
                <w:ilvl w:val="0"/>
                <w:numId w:val="8"/>
              </w:numPr>
              <w:spacing w:after="0" w:afterAutospacing="0" w:before="12" w:lineRule="auto"/>
              <w:ind w:left="720" w:hanging="360"/>
              <w:rPr>
                <w:sz w:val="28"/>
                <w:szCs w:val="28"/>
              </w:rPr>
            </w:pPr>
            <w:r w:rsidDel="00000000" w:rsidR="00000000" w:rsidRPr="00000000">
              <w:rPr>
                <w:sz w:val="28"/>
                <w:szCs w:val="28"/>
                <w:rtl w:val="0"/>
              </w:rPr>
              <w:t xml:space="preserve">What are things the school could do to improve?</w:t>
            </w:r>
          </w:p>
          <w:p w:rsidR="00000000" w:rsidDel="00000000" w:rsidP="00000000" w:rsidRDefault="00000000" w:rsidRPr="00000000" w14:paraId="00000059">
            <w:pPr>
              <w:widowControl w:val="0"/>
              <w:numPr>
                <w:ilvl w:val="1"/>
                <w:numId w:val="8"/>
              </w:numPr>
              <w:spacing w:after="0" w:afterAutospacing="0" w:before="0" w:beforeAutospacing="0" w:lineRule="auto"/>
              <w:ind w:left="1440" w:hanging="360"/>
              <w:rPr>
                <w:sz w:val="28"/>
                <w:szCs w:val="28"/>
              </w:rPr>
            </w:pPr>
            <w:r w:rsidDel="00000000" w:rsidR="00000000" w:rsidRPr="00000000">
              <w:rPr>
                <w:sz w:val="28"/>
                <w:szCs w:val="28"/>
                <w:rtl w:val="0"/>
              </w:rPr>
              <w:t xml:space="preserve">“...letting us use a computer or an Ipad to do our work if we have trouble with writing.”</w:t>
            </w:r>
          </w:p>
          <w:p w:rsidR="00000000" w:rsidDel="00000000" w:rsidP="00000000" w:rsidRDefault="00000000" w:rsidRPr="00000000" w14:paraId="0000005A">
            <w:pPr>
              <w:widowControl w:val="0"/>
              <w:numPr>
                <w:ilvl w:val="1"/>
                <w:numId w:val="8"/>
              </w:numPr>
              <w:spacing w:before="0" w:beforeAutospacing="0" w:lineRule="auto"/>
              <w:ind w:left="1440" w:hanging="360"/>
              <w:rPr>
                <w:sz w:val="28"/>
                <w:szCs w:val="28"/>
              </w:rPr>
            </w:pPr>
            <w:r w:rsidDel="00000000" w:rsidR="00000000" w:rsidRPr="00000000">
              <w:rPr>
                <w:sz w:val="28"/>
                <w:szCs w:val="28"/>
                <w:rtl w:val="0"/>
              </w:rPr>
              <w:t xml:space="preserve">“More creative activities to let students have a creative outlet…”</w:t>
            </w:r>
          </w:p>
          <w:p w:rsidR="00000000" w:rsidDel="00000000" w:rsidP="00000000" w:rsidRDefault="00000000" w:rsidRPr="00000000" w14:paraId="0000005B">
            <w:pPr>
              <w:widowControl w:val="0"/>
              <w:spacing w:before="12" w:lineRule="auto"/>
              <w:rPr>
                <w:sz w:val="28"/>
                <w:szCs w:val="28"/>
              </w:rPr>
            </w:pPr>
            <w:r w:rsidDel="00000000" w:rsidR="00000000" w:rsidRPr="00000000">
              <w:rPr>
                <w:rtl w:val="0"/>
              </w:rPr>
            </w:r>
          </w:p>
          <w:p w:rsidR="00000000" w:rsidDel="00000000" w:rsidP="00000000" w:rsidRDefault="00000000" w:rsidRPr="00000000" w14:paraId="0000005C">
            <w:pPr>
              <w:widowControl w:val="0"/>
              <w:spacing w:before="12" w:lineRule="auto"/>
              <w:rPr>
                <w:sz w:val="28"/>
                <w:szCs w:val="28"/>
              </w:rPr>
            </w:pPr>
            <w:r w:rsidDel="00000000" w:rsidR="00000000" w:rsidRPr="00000000">
              <w:rPr>
                <w:sz w:val="28"/>
                <w:szCs w:val="28"/>
                <w:rtl w:val="0"/>
              </w:rPr>
              <w:t xml:space="preserve">School Development Instructional Staff Survey - What can we improve on?</w:t>
            </w:r>
          </w:p>
          <w:p w:rsidR="00000000" w:rsidDel="00000000" w:rsidP="00000000" w:rsidRDefault="00000000" w:rsidRPr="00000000" w14:paraId="0000005D">
            <w:pPr>
              <w:widowControl w:val="0"/>
              <w:numPr>
                <w:ilvl w:val="0"/>
                <w:numId w:val="7"/>
              </w:numPr>
              <w:spacing w:before="12" w:lineRule="auto"/>
              <w:ind w:left="720" w:hanging="360"/>
              <w:rPr>
                <w:sz w:val="28"/>
                <w:szCs w:val="28"/>
              </w:rPr>
            </w:pPr>
            <w:r w:rsidDel="00000000" w:rsidR="00000000" w:rsidRPr="00000000">
              <w:rPr>
                <w:sz w:val="28"/>
                <w:szCs w:val="28"/>
                <w:rtl w:val="0"/>
              </w:rPr>
              <w:t xml:space="preserve">“Provide more supports to students, particularly with regard to those who need extra help with self-care and self-regulation, and more training for teachers on how to facilitate social emotional learning”</w:t>
            </w:r>
          </w:p>
          <w:p w:rsidR="00000000" w:rsidDel="00000000" w:rsidP="00000000" w:rsidRDefault="00000000" w:rsidRPr="00000000" w14:paraId="0000005E">
            <w:pPr>
              <w:widowControl w:val="0"/>
              <w:spacing w:after="0" w:before="12" w:line="240" w:lineRule="auto"/>
              <w:rPr>
                <w:sz w:val="28"/>
                <w:szCs w:val="28"/>
              </w:rPr>
            </w:pPr>
            <w:r w:rsidDel="00000000" w:rsidR="00000000" w:rsidRPr="00000000">
              <w:rPr>
                <w:rtl w:val="0"/>
              </w:rPr>
            </w:r>
          </w:p>
        </w:tc>
      </w:tr>
      <w:tr>
        <w:trPr>
          <w:cantSplit w:val="0"/>
          <w:trHeight w:val="342" w:hRule="atLeast"/>
          <w:tblHeader w:val="0"/>
        </w:trPr>
        <w:tc>
          <w:tcPr>
            <w:vMerge w:val="continue"/>
          </w:tcPr>
          <w:p w:rsidR="00000000" w:rsidDel="00000000" w:rsidP="00000000" w:rsidRDefault="00000000" w:rsidRPr="00000000" w14:paraId="0000005F">
            <w:pPr>
              <w:widowControl w:val="0"/>
              <w:spacing w:after="0" w:line="276" w:lineRule="auto"/>
              <w:rPr>
                <w:sz w:val="28"/>
                <w:szCs w:val="28"/>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0">
            <w:pPr>
              <w:widowControl w:val="0"/>
              <w:spacing w:after="0" w:before="12" w:line="240" w:lineRule="auto"/>
              <w:rPr>
                <w:sz w:val="28"/>
                <w:szCs w:val="28"/>
              </w:rPr>
            </w:pPr>
            <w:r w:rsidDel="00000000" w:rsidR="00000000" w:rsidRPr="00000000">
              <w:rPr>
                <w:sz w:val="28"/>
                <w:szCs w:val="28"/>
                <w:rtl w:val="0"/>
              </w:rPr>
              <w:t xml:space="preserve">Year-end Summary of Progress.  What evidence do you have to support this progress?</w:t>
            </w:r>
          </w:p>
          <w:p w:rsidR="00000000" w:rsidDel="00000000" w:rsidP="00000000" w:rsidRDefault="00000000" w:rsidRPr="00000000" w14:paraId="00000061">
            <w:pPr>
              <w:widowControl w:val="0"/>
              <w:spacing w:after="0" w:before="12" w:line="240" w:lineRule="auto"/>
              <w:rPr>
                <w:sz w:val="28"/>
                <w:szCs w:val="28"/>
              </w:rPr>
            </w:pPr>
            <w:r w:rsidDel="00000000" w:rsidR="00000000" w:rsidRPr="00000000">
              <w:rPr>
                <w:rtl w:val="0"/>
              </w:rPr>
            </w:r>
          </w:p>
          <w:p w:rsidR="00000000" w:rsidDel="00000000" w:rsidP="00000000" w:rsidRDefault="00000000" w:rsidRPr="00000000" w14:paraId="00000062">
            <w:pPr>
              <w:widowControl w:val="0"/>
              <w:spacing w:after="0" w:before="12" w:line="240" w:lineRule="auto"/>
              <w:rPr>
                <w:sz w:val="28"/>
                <w:szCs w:val="28"/>
              </w:rPr>
            </w:pPr>
            <w:r w:rsidDel="00000000" w:rsidR="00000000" w:rsidRPr="00000000">
              <w:rPr>
                <w:sz w:val="28"/>
                <w:szCs w:val="28"/>
                <w:rtl w:val="0"/>
              </w:rPr>
              <w:t xml:space="preserve">Instructional practice has been a successful, yet ongoing growth component of this process. By focusing on the RTL Protocol and adopting new reading support practices, teachers have learned so much about teaching reading. This has proven to be a game changer in the improvement of struggling early readers’ improvement and growth in understanding how to read and decode, as well as bringing upper elementary students closer towards grade level reading and comprehension skills. This has been very exciting and professionally satisfying for all staff involved with their learning.</w:t>
            </w:r>
          </w:p>
          <w:p w:rsidR="00000000" w:rsidDel="00000000" w:rsidP="00000000" w:rsidRDefault="00000000" w:rsidRPr="00000000" w14:paraId="00000063">
            <w:pPr>
              <w:widowControl w:val="0"/>
              <w:spacing w:before="12" w:lineRule="auto"/>
              <w:rPr>
                <w:sz w:val="28"/>
                <w:szCs w:val="28"/>
              </w:rPr>
            </w:pPr>
            <w:r w:rsidDel="00000000" w:rsidR="00000000" w:rsidRPr="00000000">
              <w:rPr>
                <w:sz w:val="28"/>
                <w:szCs w:val="28"/>
                <w:rtl w:val="0"/>
              </w:rPr>
              <w:t xml:space="preserve">Deep learning has also presented many opportunities for teaching staff to learn new ways to improve instructional practice, and how to use new devices while promoting student learning and engagement. The Teacher Librarian was very helpful in this aspect of improving instructional practice. </w:t>
            </w:r>
          </w:p>
          <w:p w:rsidR="00000000" w:rsidDel="00000000" w:rsidP="00000000" w:rsidRDefault="00000000" w:rsidRPr="00000000" w14:paraId="00000064">
            <w:pPr>
              <w:widowControl w:val="0"/>
              <w:spacing w:after="0" w:before="12" w:line="240" w:lineRule="auto"/>
              <w:rPr>
                <w:sz w:val="28"/>
                <w:szCs w:val="28"/>
              </w:rPr>
            </w:pPr>
            <w:r w:rsidDel="00000000" w:rsidR="00000000" w:rsidRPr="00000000">
              <w:rPr>
                <w:sz w:val="28"/>
                <w:szCs w:val="28"/>
                <w:rtl w:val="0"/>
              </w:rPr>
              <w:t xml:space="preserve">PL sharing and a presentation with an international educational institute in Hong Kong (BOAZ Educational Institute), whose focus is on supporting children with learning disorders was a very positive experience for our Reading Specialist, IRTs as they shared their teaching practices with each other and found great professional satisfaction from doing so.</w:t>
            </w:r>
          </w:p>
          <w:p w:rsidR="00000000" w:rsidDel="00000000" w:rsidP="00000000" w:rsidRDefault="00000000" w:rsidRPr="00000000" w14:paraId="00000065">
            <w:pPr>
              <w:widowControl w:val="0"/>
              <w:spacing w:after="0" w:before="12" w:line="240" w:lineRule="auto"/>
              <w:rPr>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066">
            <w:pPr>
              <w:widowControl w:val="0"/>
              <w:spacing w:after="0" w:before="12" w:line="240" w:lineRule="auto"/>
              <w:rPr>
                <w:sz w:val="28"/>
                <w:szCs w:val="28"/>
              </w:rPr>
            </w:pPr>
            <w:r w:rsidDel="00000000" w:rsidR="00000000" w:rsidRPr="00000000">
              <w:rPr>
                <w:sz w:val="28"/>
                <w:szCs w:val="28"/>
                <w:rtl w:val="0"/>
              </w:rPr>
              <w:t xml:space="preserve">Next Steps… </w:t>
            </w:r>
          </w:p>
          <w:p w:rsidR="00000000" w:rsidDel="00000000" w:rsidP="00000000" w:rsidRDefault="00000000" w:rsidRPr="00000000" w14:paraId="00000067">
            <w:pPr>
              <w:widowControl w:val="0"/>
              <w:spacing w:after="0" w:before="12" w:line="240" w:lineRule="auto"/>
              <w:rPr>
                <w:sz w:val="28"/>
                <w:szCs w:val="28"/>
              </w:rPr>
            </w:pPr>
            <w:r w:rsidDel="00000000" w:rsidR="00000000" w:rsidRPr="00000000">
              <w:rPr>
                <w:sz w:val="28"/>
                <w:szCs w:val="28"/>
                <w:rtl w:val="0"/>
              </w:rPr>
              <w:t xml:space="preserve">We will continue to grow this new reading initiative. Teachers involved are already discussing with me about their next steps in professional growth to improve their instructional practice, which is very encouraging! As teaching staff discuss and promote new learnings they have experienced and read, the momentum will ideally continue to build. This needs to be nurtured and celebrated as a staff. </w:t>
            </w:r>
          </w:p>
          <w:p w:rsidR="00000000" w:rsidDel="00000000" w:rsidP="00000000" w:rsidRDefault="00000000" w:rsidRPr="00000000" w14:paraId="00000068">
            <w:pPr>
              <w:widowControl w:val="0"/>
              <w:spacing w:after="0" w:before="12" w:line="240" w:lineRule="auto"/>
              <w:rPr>
                <w:sz w:val="28"/>
                <w:szCs w:val="28"/>
              </w:rPr>
            </w:pPr>
            <w:r w:rsidDel="00000000" w:rsidR="00000000" w:rsidRPr="00000000">
              <w:rPr>
                <w:sz w:val="28"/>
                <w:szCs w:val="28"/>
                <w:rtl w:val="0"/>
              </w:rPr>
              <w:t xml:space="preserve">More encouragement and expectations of teachers to better utilize the Teacher Librarian’s expertise will also be promoted, as this will be instrumental in deep learning for students and their engagement in learning.</w:t>
            </w:r>
          </w:p>
          <w:p w:rsidR="00000000" w:rsidDel="00000000" w:rsidP="00000000" w:rsidRDefault="00000000" w:rsidRPr="00000000" w14:paraId="00000069">
            <w:pPr>
              <w:widowControl w:val="0"/>
              <w:spacing w:after="0" w:before="12" w:line="240" w:lineRule="auto"/>
              <w:rPr>
                <w:sz w:val="28"/>
                <w:szCs w:val="28"/>
              </w:rPr>
            </w:pPr>
            <w:r w:rsidDel="00000000" w:rsidR="00000000" w:rsidRPr="00000000">
              <w:rPr>
                <w:sz w:val="28"/>
                <w:szCs w:val="28"/>
                <w:rtl w:val="0"/>
              </w:rPr>
              <w:t xml:space="preserve">With the lessened impact of COVID-19, we can now refocus on the 6 Cs through the renewed promotion of these global competencies, and to encourage their implementation throughout all subject areas (cross curricular if possible). Planning times will be made to allow for this, as well as further PL in this area. We also want to advance the importance of UDL in our school. We will also be presenting PL on this and allowing time for teachers to integrate this in their instructional practice. PIES (Personal Interests to Engage Students) will be a weekly learning journey for students to have the opportunity to engage in a selected activity for a period of 6-8 weeks. These activities will be hosted by teachers, TLAs and community volunteers that will focus on the 6 Cs in some intentional way and therefore foster the language of collaboration, citizenship, creativity etc.</w:t>
            </w:r>
          </w:p>
        </w:tc>
      </w:tr>
    </w:tbl>
    <w:p w:rsidR="00000000" w:rsidDel="00000000" w:rsidP="00000000" w:rsidRDefault="00000000" w:rsidRPr="00000000" w14:paraId="0000006A">
      <w:pPr>
        <w:rPr/>
      </w:pPr>
      <w:r w:rsidDel="00000000" w:rsidR="00000000" w:rsidRPr="00000000">
        <w:rPr>
          <w:rtl w:val="0"/>
        </w:rPr>
      </w:r>
    </w:p>
    <w:sectPr>
      <w:headerReference r:id="rId8" w:type="default"/>
      <w:headerReference r:id="rId9" w:type="first"/>
      <w:footerReference r:id="rId10" w:type="default"/>
      <w:footerReference r:id="rId11" w:type="first"/>
      <w:pgSz w:h="12240" w:w="15840" w:orient="landscape"/>
      <w:pgMar w:bottom="567" w:top="567" w:left="567" w:right="567" w:header="576" w:footer="432"/>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pBdr>
        <w:left w:color="5b9bd5" w:space="11" w:sz="12" w:val="single"/>
      </w:pBdr>
      <w:tabs>
        <w:tab w:val="left" w:pos="622"/>
      </w:tabs>
      <w:spacing w:after="0" w:lineRule="auto"/>
      <w:rPr>
        <w:color w:val="2e75b5"/>
        <w:sz w:val="18"/>
        <w:szCs w:val="18"/>
      </w:rPr>
    </w:pPr>
    <w:r w:rsidDel="00000000" w:rsidR="00000000" w:rsidRPr="00000000">
      <w:rPr>
        <w:color w:val="2e75b5"/>
        <w:sz w:val="18"/>
        <w:szCs w:val="18"/>
        <w:rtl w:val="0"/>
      </w:rPr>
      <w:t xml:space="preserve">Department of Education</w:t>
    </w:r>
  </w:p>
  <w:p w:rsidR="00000000" w:rsidDel="00000000" w:rsidP="00000000" w:rsidRDefault="00000000" w:rsidRPr="00000000" w14:paraId="0000006E">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0">
    <w:pPr>
      <w:pBdr>
        <w:left w:color="5b9bd5" w:space="11" w:sz="12" w:val="single"/>
      </w:pBdr>
      <w:tabs>
        <w:tab w:val="left" w:pos="622"/>
      </w:tabs>
      <w:spacing w:after="0" w:lineRule="auto"/>
      <w:rPr>
        <w:color w:val="2e75b5"/>
        <w:sz w:val="18"/>
        <w:szCs w:val="18"/>
      </w:rPr>
    </w:pPr>
    <w:r w:rsidDel="00000000" w:rsidR="00000000" w:rsidRPr="00000000">
      <w:rPr>
        <w:color w:val="2e75b5"/>
        <w:sz w:val="18"/>
        <w:szCs w:val="18"/>
        <w:rtl w:val="0"/>
      </w:rPr>
      <w:t xml:space="preserve">Department of Education</w:t>
    </w:r>
  </w:p>
  <w:p w:rsidR="00000000" w:rsidDel="00000000" w:rsidP="00000000" w:rsidRDefault="00000000" w:rsidRPr="00000000" w14:paraId="00000071">
    <w:pPr>
      <w:tabs>
        <w:tab w:val="left" w:pos="615"/>
        <w:tab w:val="right" w:pos="14706"/>
      </w:tab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8481060</wp:posOffset>
          </wp:positionH>
          <wp:positionV relativeFrom="paragraph">
            <wp:posOffset>-297814</wp:posOffset>
          </wp:positionV>
          <wp:extent cx="857250" cy="447675"/>
          <wp:effectExtent b="0" l="0" r="0" t="0"/>
          <wp:wrapSquare wrapText="bothSides" distB="0" distT="0" distL="114300" distR="114300"/>
          <wp:docPr descr="See the source image" id="3" name="image1.png"/>
          <a:graphic>
            <a:graphicData uri="http://schemas.openxmlformats.org/drawingml/2006/picture">
              <pic:pic>
                <pic:nvPicPr>
                  <pic:cNvPr descr="See the source image" id="0" name="image1.png"/>
                  <pic:cNvPicPr preferRelativeResize="0"/>
                </pic:nvPicPr>
                <pic:blipFill>
                  <a:blip r:embed="rId1"/>
                  <a:srcRect b="0" l="0" r="0" t="0"/>
                  <a:stretch>
                    <a:fillRect/>
                  </a:stretch>
                </pic:blipFill>
                <pic:spPr>
                  <a:xfrm>
                    <a:off x="0" y="0"/>
                    <a:ext cx="857250" cy="44767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8639175</wp:posOffset>
          </wp:positionH>
          <wp:positionV relativeFrom="paragraph">
            <wp:posOffset>-323849</wp:posOffset>
          </wp:positionV>
          <wp:extent cx="857250" cy="447675"/>
          <wp:effectExtent b="0" l="0" r="0" t="0"/>
          <wp:wrapSquare wrapText="bothSides" distB="0" distT="0" distL="114300" distR="114300"/>
          <wp:docPr descr="See the source image" id="4" name="image1.png"/>
          <a:graphic>
            <a:graphicData uri="http://schemas.openxmlformats.org/drawingml/2006/picture">
              <pic:pic>
                <pic:nvPicPr>
                  <pic:cNvPr descr="See the source image" id="0" name="image1.png"/>
                  <pic:cNvPicPr preferRelativeResize="0"/>
                </pic:nvPicPr>
                <pic:blipFill>
                  <a:blip r:embed="rId1"/>
                  <a:srcRect b="0" l="0" r="0" t="0"/>
                  <a:stretch>
                    <a:fillRect/>
                  </a:stretch>
                </pic:blipFill>
                <pic:spPr>
                  <a:xfrm>
                    <a:off x="0" y="0"/>
                    <a:ext cx="857250" cy="4476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0"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1"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2"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3"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table" w:styleId="a4" w:customStyle="1">
    <w:basedOn w:val="TableNormal"/>
    <w:pPr>
      <w:spacing w:after="0" w:line="240" w:lineRule="auto"/>
    </w:pPr>
    <w:tblPr>
      <w:tblStyleRowBandSize w:val="1"/>
      <w:tblStyleColBandSize w:val="1"/>
    </w:tblPr>
    <w:tblStylePr w:type="firstRow">
      <w:rPr>
        <w:b w:val="1"/>
        <w:color w:val="ffffff"/>
      </w:rPr>
      <w:tblPr/>
      <w:tcPr>
        <w:tcBorders>
          <w:top w:color="4472c4" w:space="0" w:sz="4" w:val="single"/>
          <w:left w:color="4472c4" w:space="0" w:sz="4" w:val="single"/>
          <w:bottom w:color="4472c4" w:space="0" w:sz="4" w:val="single"/>
          <w:right w:color="4472c4" w:space="0" w:sz="4" w:val="single"/>
          <w:insideH w:space="0" w:sz="0" w:val="nil"/>
          <w:insideV w:space="0" w:sz="0" w:val="nil"/>
        </w:tcBorders>
        <w:shd w:color="auto" w:fill="4472c4" w:val="clear"/>
      </w:tcPr>
    </w:tblStylePr>
    <w:tblStylePr w:type="lastRow">
      <w:rPr>
        <w:b w:val="1"/>
      </w:rPr>
      <w:tblPr/>
      <w:tcPr>
        <w:tcBorders>
          <w:top w:color="4472c4" w:space="0" w:sz="4" w:val="single"/>
        </w:tcBorders>
      </w:tcPr>
    </w:tblStylePr>
    <w:tblStylePr w:type="firstCol">
      <w:rPr>
        <w:b w:val="1"/>
      </w:rPr>
    </w:tblStylePr>
    <w:tblStylePr w:type="lastCol">
      <w:rPr>
        <w:b w:val="1"/>
      </w:rPr>
    </w:tblStylePr>
    <w:tblStylePr w:type="band1Vert">
      <w:tblPr/>
      <w:tcPr>
        <w:shd w:color="auto" w:fill="d9e2f3" w:val="clear"/>
      </w:tcPr>
    </w:tblStylePr>
    <w:tblStylePr w:type="band1Horz">
      <w:tblPr/>
      <w:tcPr>
        <w:shd w:color="auto" w:fill="d9e2f3" w:val="clear"/>
      </w:tcPr>
    </w:tblStylePr>
  </w:style>
  <w:style w:type="paragraph" w:styleId="Header">
    <w:name w:val="header"/>
    <w:basedOn w:val="Normal"/>
    <w:link w:val="HeaderChar"/>
    <w:uiPriority w:val="99"/>
    <w:unhideWhenUsed w:val="1"/>
    <w:rsid w:val="00B610F7"/>
    <w:pPr>
      <w:tabs>
        <w:tab w:val="center" w:pos="4680"/>
        <w:tab w:val="right" w:pos="9360"/>
      </w:tabs>
      <w:spacing w:after="0" w:line="240" w:lineRule="auto"/>
    </w:pPr>
  </w:style>
  <w:style w:type="character" w:styleId="HeaderChar" w:customStyle="1">
    <w:name w:val="Header Char"/>
    <w:basedOn w:val="DefaultParagraphFont"/>
    <w:link w:val="Header"/>
    <w:uiPriority w:val="99"/>
    <w:rsid w:val="00B610F7"/>
  </w:style>
  <w:style w:type="paragraph" w:styleId="Footer">
    <w:name w:val="footer"/>
    <w:basedOn w:val="Normal"/>
    <w:link w:val="FooterChar"/>
    <w:uiPriority w:val="99"/>
    <w:unhideWhenUsed w:val="1"/>
    <w:rsid w:val="00B610F7"/>
    <w:pPr>
      <w:tabs>
        <w:tab w:val="center" w:pos="4680"/>
        <w:tab w:val="right" w:pos="9360"/>
      </w:tabs>
      <w:spacing w:after="0" w:line="240" w:lineRule="auto"/>
    </w:pPr>
  </w:style>
  <w:style w:type="character" w:styleId="FooterChar" w:customStyle="1">
    <w:name w:val="Footer Char"/>
    <w:basedOn w:val="DefaultParagraphFont"/>
    <w:link w:val="Footer"/>
    <w:uiPriority w:val="99"/>
    <w:rsid w:val="00B610F7"/>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tblStylePr w:type="band1Horz">
      <w:tcPr>
        <w:shd w:fill="d9e2f3" w:val="clear"/>
      </w:tcPr>
    </w:tblStylePr>
    <w:tblStylePr w:type="band1Vert">
      <w:tcPr>
        <w:shd w:fill="d9e2f3" w:val="clear"/>
      </w:tcPr>
    </w:tblStylePr>
    <w:tblStylePr w:type="firstCol">
      <w:rPr>
        <w:b w:val="1"/>
      </w:rPr>
    </w:tblStylePr>
    <w:tblStylePr w:type="firstRow">
      <w:rPr>
        <w:b w:val="1"/>
        <w:color w:val="ffffff"/>
      </w:rPr>
      <w:tcPr>
        <w:tcBorders>
          <w:top w:color="4472c4" w:space="0" w:sz="4" w:val="single"/>
          <w:left w:color="4472c4" w:space="0" w:sz="4" w:val="single"/>
          <w:bottom w:color="4472c4" w:space="0" w:sz="4" w:val="single"/>
          <w:right w:color="4472c4" w:space="0" w:sz="4" w:val="single"/>
          <w:insideH w:color="000000" w:space="0" w:sz="0" w:val="nil"/>
          <w:insideV w:color="000000" w:space="0" w:sz="0" w:val="nil"/>
        </w:tcBorders>
        <w:shd w:fill="4472c4" w:val="clear"/>
      </w:tcPr>
    </w:tblStylePr>
    <w:tblStylePr w:type="lastCol">
      <w:rPr>
        <w:b w:val="1"/>
      </w:rPr>
    </w:tblStylePr>
    <w:tblStylePr w:type="lastRow">
      <w:rPr>
        <w:b w:val="1"/>
      </w:rPr>
      <w:tcPr>
        <w:tcBorders>
          <w:top w:color="4472c4" w:space="0" w:sz="4" w:val="single"/>
        </w:tcBorders>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4F4MHodntemcdWgajXBTdPx5CQ==">AMUW2mW4hJ5OvqRv3S+eXuy7KMYhWGU30X/Ec4HrBPw3AAeEQtEQpjl5t9bFVqj1xrMaHq+4CeDD93QbOgPuPFqXmRUxhTnjmdXS8EGQIyM6DH1z0IbuDH8V/9TCRkyIeP5rZU0mQ5zZ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2022-05-10T11:13:00Z</dcterms:created>
  <dc:creator>Emberley, Patricia</dc:creator>
</cp:coreProperties>
</file>